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0.png" ContentType="image/png"/>
  <Override PartName="/word/media/rId51.png" ContentType="image/png"/>
  <Override PartName="/word/media/rId47.png" ContentType="image/png"/>
  <Override PartName="/word/media/rId39.png" ContentType="image/png"/>
  <Override PartName="/word/media/rId32.png" ContentType="image/png"/>
  <Override PartName="/word/media/rId56.png" ContentType="image/png"/>
  <Override PartName="/word/media/rId61.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This work indicates that PC-rich and PE-rich picocyanobacteria exhibit ecophysiological and functional diversity. These differences help explain the differential seasonal prevalence of PC-rich and PE-rich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is the fraction of PAR, photon energy in the 400-700 nm range, that can be absorbed by pigments present in cyanobacteria or algae</w:t>
      </w:r>
      <w:r>
        <w:t xml:space="preserve"> </w:t>
      </w:r>
      <w:r>
        <w:t xml:space="preserve">(Morel 1978)</w:t>
      </w:r>
      <w:r>
        <w:t xml:space="preserve"> </w:t>
      </w:r>
      <w:r>
        <w:t xml:space="preserve">for photosynthesis. Optimal PAR and PUR provide the energy for photosynthesis, and thus supports cyanobacteria growth and biomass production.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6"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 (Fig.</w:t>
      </w:r>
      <w:r>
        <w:t xml:space="preserve"> </w:t>
      </w:r>
      <w:r>
        <w:t xml:space="preserve">3</w:t>
      </w:r>
      <w:r>
        <w:t xml:space="preserve">).</w:t>
      </w:r>
    </w:p>
    <w:p>
      <w:pPr>
        <w:pStyle w:val="BodyText"/>
      </w:pPr>
      <w:r>
        <w:t xml:space="preserve">For blue LED (Ex</w:t>
      </w:r>
      <w:r>
        <w:rPr>
          <w:vertAlign w:val="subscript"/>
        </w:rPr>
        <w:t xml:space="preserve">445nm</w:t>
      </w:r>
      <w:r>
        <w:t xml:space="preserve">) excitation we used Eq. (5); for orange LED (Ex</w:t>
      </w:r>
      <w:r>
        <w:rPr>
          <w:vertAlign w:val="subscript"/>
        </w:rPr>
        <w:t xml:space="preserve">590nm</w:t>
      </w:r>
      <w:r>
        <w:t xml:space="preserve">) excitation we used Eq. (6).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106940.95</m:t>
              </m:r>
            </m:den>
          </m:f>
          <m:r>
            <m:t>  </m:t>
          </m:r>
          <m:d>
            <m:dPr>
              <m:begChr m:val="("/>
              <m:endChr m:val=")"/>
              <m:sepChr m:val=""/>
              <m:grow/>
            </m:dPr>
            <m:e>
              <m:r>
                <m:t>5</m:t>
              </m:r>
            </m:e>
          </m:d>
        </m:oMath>
      </m:oMathPara>
    </w:p>
    <w:p>
      <w:pPr>
        <w:pStyle w:val="FirstParagraph"/>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251096.40</m:t>
              </m:r>
            </m:den>
          </m:f>
          <m:r>
            <m:t>  </m:t>
          </m:r>
          <m:d>
            <m:dPr>
              <m:begChr m:val="("/>
              <m:endChr m:val=")"/>
              <m:sepChr m:val=""/>
              <m:grow/>
            </m:dPr>
            <m:e>
              <m:r>
                <m:t>6</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w:t>
      </w:r>
    </w:p>
    <w:bookmarkEnd w:id="44"/>
    <w:bookmarkStart w:id="45"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(Table S3, S4) and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One-way ANOVA was also used to examine statistical differences between single phase exponential decay fit model of pooled data across different strains for a given phase of growth and across different phase of growth for a given strain from PUR/PAR ratio (Table S9), Phycobiliprotein to Chl</w:t>
      </w:r>
      <w:r>
        <w:t xml:space="preserve"> </w:t>
      </w:r>
      <w:r>
        <w:rPr>
          <w:iCs/>
          <w:i/>
        </w:rPr>
        <w:t xml:space="preserve">a</w:t>
      </w:r>
      <w:r>
        <w:t xml:space="preserve"> </w:t>
      </w:r>
      <w:r>
        <w:t xml:space="preserve">ratio (Table S10),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Table S12) or in relation to the Phycobiliprotein to Chl</w:t>
      </w:r>
      <w:r>
        <w:t xml:space="preserve"> </w:t>
      </w:r>
      <w:r>
        <w:rPr>
          <w:iCs/>
          <w:i/>
        </w:rPr>
        <w:t xml:space="preserve">a</w:t>
      </w:r>
      <w:r>
        <w:t xml:space="preserve"> </w:t>
      </w:r>
      <w:r>
        <w:t xml:space="preserve">ratio (Table S13). The same statistical analyzes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5"/>
    <w:bookmarkEnd w:id="46"/>
    <w:bookmarkStart w:id="75" w:name="results"/>
    <w:p>
      <w:pPr>
        <w:pStyle w:val="Heading1"/>
      </w:pPr>
      <w:r>
        <w:t xml:space="preserve">Results</w:t>
      </w:r>
    </w:p>
    <w:bookmarkStart w:id="55"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responses to cumulative diel PUR, depending upon peak PAR (Fig.</w:t>
      </w:r>
      <w:r>
        <w:t xml:space="preserve"> </w:t>
      </w:r>
      <w:r>
        <w:t xml:space="preserve">5</w:t>
      </w:r>
      <w:r>
        <w:t xml:space="preserve">).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GrowthRatePhotoperiodPUR"/>
      <w:bookmarkEnd w:id="50"/>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2" name="Picture"/>
            <a:graphic>
              <a:graphicData uri="http://schemas.openxmlformats.org/drawingml/2006/picture">
                <pic:pic>
                  <pic:nvPicPr>
                    <pic:cNvPr descr="../Output/Figures/Fig_GrowthRate_Light_PUR.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GrowthRateLightPUR"/>
      <w:bookmarkEnd w:id="54"/>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5"/>
    <w:bookmarkStart w:id="60"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6</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0"/>
    <w:bookmarkStart w:id="69"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S11).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Sigma590.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590"/>
      <w:bookmarkEnd w:id="64"/>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is shown in Fig. S7 and Table S10 in Supplementary material. We also presented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6" name="Picture"/>
            <a:graphic>
              <a:graphicData uri="http://schemas.openxmlformats.org/drawingml/2006/picture">
                <pic:pic>
                  <pic:nvPicPr>
                    <pic:cNvPr descr="../Output/Figures/Fig_SigmaPig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Pig590"/>
      <w:bookmarkEnd w:id="68"/>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69"/>
    <w:bookmarkStart w:id="74"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model fits of the pooled data vs. models fit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1" name="Picture"/>
            <a:graphic>
              <a:graphicData uri="http://schemas.openxmlformats.org/drawingml/2006/picture">
                <pic:pic>
                  <pic:nvPicPr>
                    <pic:cNvPr descr="../Output/Figures/Fig_GrowthRate_JVPSII_Photoperiod_Chla.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GrowthRateJVPSII"/>
      <w:bookmarkEnd w:id="73"/>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4"/>
    <w:bookmarkEnd w:id="75"/>
    <w:bookmarkStart w:id="81" w:name="discussion"/>
    <w:p>
      <w:pPr>
        <w:pStyle w:val="Heading1"/>
      </w:pPr>
      <w:r>
        <w:t xml:space="preserve">Discussion</w:t>
      </w:r>
    </w:p>
    <w:bookmarkStart w:id="76" w:name="X3f43e6e86e87a2a9803ec9002f689e43afe2537"/>
    <w:p>
      <w:pPr>
        <w:pStyle w:val="Heading2"/>
      </w:pPr>
      <w:r>
        <w:t xml:space="preserve">Photic regime significance for picocyanobacteria growth and occurrence</w:t>
      </w:r>
    </w:p>
    <w:p>
      <w:pPr>
        <w:pStyle w:val="FirstParagraph"/>
      </w:pPr>
      <w:r>
        <w:t xml:space="preserve">Light regimes, including fluctuations in intensity, and photoperiod, is one of the major factors affecting the distribution and seasonality of algae (Jacob-Lopes et al., 2009). We demonstrated that cumulative diel photon dose consistently explains achieved growth rates across a matrix of photoperiods and PUR, estimated for exponential phase cultures. Moreover, growth rates vs. cumulative diel peak PAR, show similar patterns. All four strains showed saturation of growth rate under increasing cumulative diel PUR, but the achieved estimates of µ</w:t>
      </w:r>
      <w:r>
        <w:rPr>
          <w:vertAlign w:val="subscript"/>
        </w:rPr>
        <w:t xml:space="preserve">max</w:t>
      </w:r>
      <w:r>
        <w:t xml:space="preserve"> </w:t>
      </w:r>
      <w:r>
        <w:t xml:space="preserve">vary depending upon photoperiod and light intensity.</w:t>
      </w:r>
    </w:p>
    <w:p>
      <w:pPr>
        <w:pStyle w:val="BodyText"/>
      </w:pPr>
      <w:r>
        <w:t xml:space="preserve">Changes in photoperiod trigger adaptive responses, shaping the temporal dynamics and community structure of phytoplankton [CITATION]. Different cell growth profiles can be seen as a function of the duration of the light periods</w:t>
      </w:r>
      <w:r>
        <w:t xml:space="preserve"> </w:t>
      </w:r>
      <w:r>
        <w:t xml:space="preserve">(Jacob-Lopes et al. 2009)</w:t>
      </w:r>
      <w:r>
        <w:t xml:space="preserve">. This work revealed that not only the daily dose of light, but also the length of exposure affected the picocyanobacteria growth rate. We recorded the least favorable growth condition for both PE-rich and PC-rich strains of</w:t>
      </w:r>
      <w:r>
        <w:t xml:space="preserve"> </w:t>
      </w:r>
      <w:r>
        <w:rPr>
          <w:iCs/>
          <w:i/>
        </w:rPr>
        <w:t xml:space="preserve">Synechococcus</w:t>
      </w:r>
      <w:r>
        <w:t xml:space="preserve"> </w:t>
      </w:r>
      <w:r>
        <w:t xml:space="preserve">sp. in very intense light (900 µmol photons m</w:t>
      </w:r>
      <w:r>
        <w:rPr>
          <w:vertAlign w:val="superscript"/>
        </w:rPr>
        <w:t xml:space="preserve">−2</w:t>
      </w:r>
      <w:r>
        <w:t xml:space="preserve">s</w:t>
      </w:r>
      <w:r>
        <w:rPr>
          <w:vertAlign w:val="superscript"/>
        </w:rPr>
        <w:t xml:space="preserve">−1</w:t>
      </w:r>
      <w:r>
        <w:t xml:space="preserve">) and the shortest photoperiod (8h). Under these conditions, the chlorophyll specific exponential growth rates was the lowest, even if the cumulative diel photon dose was equivalent to conditions where the light intensity was lower and the photoperiod was longer. It is worth noting here that there are reports describing the possibility of freshwater</w:t>
      </w:r>
      <w:r>
        <w:t xml:space="preserve"> </w:t>
      </w:r>
      <w:r>
        <w:rPr>
          <w:iCs/>
          <w:i/>
        </w:rPr>
        <w:t xml:space="preserve">Synechococcus</w:t>
      </w:r>
      <w:r>
        <w:t xml:space="preserve">-related species forming blooms during winter</w:t>
      </w:r>
      <w:r>
        <w:t xml:space="preserve"> </w:t>
      </w:r>
      <w:r>
        <w:t xml:space="preserve">(Cai et al. 2021)</w:t>
      </w:r>
      <w:r>
        <w:t xml:space="preserve">, but these phenomena do not seem to apply to</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Studies have shown the prevalence of</w:t>
      </w:r>
      <w:r>
        <w:t xml:space="preserve"> </w:t>
      </w:r>
      <w:r>
        <w:rPr>
          <w:iCs/>
          <w:i/>
        </w:rPr>
        <w:t xml:space="preserve">Synechococcus</w:t>
      </w:r>
      <w:r>
        <w:t xml:space="preserve"> </w:t>
      </w:r>
      <w:r>
        <w:t xml:space="preserve">in various Arctic (</w:t>
      </w:r>
      <w:r>
        <w:t xml:space="preserve">(Gradinger and Lenz 1989)</w:t>
      </w:r>
      <w:r>
        <w:t xml:space="preserve">,</w:t>
      </w:r>
      <w:r>
        <w:t xml:space="preserve"> </w:t>
      </w:r>
      <w:r>
        <w:t xml:space="preserve">(Gradinger and Lenz 1995)</w:t>
      </w:r>
      <w:r>
        <w:t xml:space="preserve">,</w:t>
      </w:r>
      <w:r>
        <w:t xml:space="preserve"> </w:t>
      </w:r>
      <w:r>
        <w:t xml:space="preserve">(Van Hove et al. 2008)</w:t>
      </w:r>
      <w:r>
        <w:t xml:space="preserve">) and Antarctic (reviewed in detail by</w:t>
      </w:r>
      <w:r>
        <w:t xml:space="preserve"> </w:t>
      </w:r>
      <w:r>
        <w:t xml:space="preserve">(Velichko et al. 2021)</w:t>
      </w:r>
      <w:r>
        <w:t xml:space="preserve">) regions, including the Barents Sea, Greenland Sea, and Weddell Sea, and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 reflecting their ability to adapt to these environmental conditions. Furthermore, in 1989 Gradinger and Lenz</w:t>
      </w:r>
      <w:r>
        <w:t xml:space="preserve"> </w:t>
      </w:r>
      <w:r>
        <w:t xml:space="preserve">(Gradinger and Lenz 1989)</w:t>
      </w:r>
      <w:r>
        <w:t xml:space="preserve"> </w:t>
      </w:r>
      <w:r>
        <w:t xml:space="preserve">already suggested that</w:t>
      </w:r>
      <w:r>
        <w:t xml:space="preserve"> </w:t>
      </w:r>
      <w:r>
        <w:rPr>
          <w:iCs/>
          <w:i/>
        </w:rPr>
        <w:t xml:space="preserve">Synechococcus</w:t>
      </w:r>
      <w:r>
        <w:t xml:space="preserve">-type picocyanobacteria can serve as indicator organisms for the advection of warm water masses into polar regions which is extremely important nowadays in the context of monitoring upcoming climate changes. These findings also underscore the resilience of</w:t>
      </w:r>
      <w:r>
        <w:t xml:space="preserve"> </w:t>
      </w:r>
      <w:r>
        <w:rPr>
          <w:iCs/>
          <w:i/>
        </w:rPr>
        <w:t xml:space="preserve">Synechococcus</w:t>
      </w:r>
      <w:r>
        <w:t xml:space="preserve"> </w:t>
      </w:r>
      <w:r>
        <w:t xml:space="preserve">to photoperiod changes and highlight their ecological significance in polar marine ecosystems.</w:t>
      </w:r>
    </w:p>
    <w:p>
      <w:pPr>
        <w:pStyle w:val="BodyText"/>
      </w:pPr>
      <w:r>
        <w:t xml:space="preserve">Light intensity is another key driver of phytoplankton productivity and its influence on ecosystem dynamics, biogeochemical cycling, and food web interactions [e.g., CITATION]. 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PE-rich strains suffered photoinhibition. The</w:t>
      </w:r>
      <w:r>
        <w:t xml:space="preserve"> </w:t>
      </w:r>
      <w:r>
        <w:rPr>
          <w:iCs/>
          <w:i/>
        </w:rPr>
        <w:t xml:space="preserve">Synechococcus</w:t>
      </w:r>
      <w:r>
        <w:t xml:space="preserve"> </w:t>
      </w:r>
      <w:r>
        <w:t xml:space="preserve">sp. strains reached a plateau in the light intensity range of 180-300 µmol photons m−2s−1. Growth at 900 µmol photons m−2s−1 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that needs to be accounted for while developing large-scale phytoplankton models.</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 [CITATION].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 In the future, these data should be supplemented with other factors, such as light spectrum, and oxygen availability, to better predict and forecast the occurrence of PC-rich and PE-rich</w:t>
      </w:r>
      <w:r>
        <w:t xml:space="preserve"> </w:t>
      </w:r>
      <w:r>
        <w:rPr>
          <w:iCs/>
          <w:i/>
        </w:rPr>
        <w:t xml:space="preserve">Synechococcus</w:t>
      </w:r>
      <w:r>
        <w:t xml:space="preserve"> </w:t>
      </w:r>
      <w:r>
        <w:t xml:space="preserve">sp. in the world ocean.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PC-rich and PE-rich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and Antarctic summer near the poles regions regardless of their genetic lineages and pigments composition.</w:t>
      </w:r>
    </w:p>
    <w:bookmarkEnd w:id="76"/>
    <w:bookmarkStart w:id="80" w:name="X3692c8cc7c5ea30a35794d7dc55cce4460b76da"/>
    <w:p>
      <w:pPr>
        <w:pStyle w:val="Heading2"/>
      </w:pPr>
      <w:r>
        <w:t xml:space="preserve">Photic regime and and growth phases significance for picocyanobacteria light-capture</w:t>
      </w:r>
    </w:p>
    <w:bookmarkStart w:id="77" w:name="purpar-ratio"/>
    <w:p>
      <w:pPr>
        <w:pStyle w:val="Heading3"/>
      </w:pPr>
      <w:r>
        <w:t xml:space="preserve">PUR/PAR ratio</w:t>
      </w:r>
    </w:p>
    <w:p>
      <w:pPr>
        <w:pStyle w:val="FirstParagraph"/>
      </w:pPr>
      <w:r>
        <w:t xml:space="preserve">PUR plays a fundamental role in the growth and productivity of phytoplankton within aquatic ecosystems [CITATION].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PUR is always smaller than PAR (PUR &lt; PAR) and depends on the spectral composition of the submarine radiant energy available to algae and their pigment composition determining the spectral absorption properties [CITATION].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 [CITATION]. PUR also depends on the pigment content and composition in cyanobacterial cells, which change over time and phase of growth. Understanding the dynamics and availability of PUR is crucial for comprehending the variability of picocyanobacteria communities in different aquatic environments.</w:t>
      </w:r>
    </w:p>
    <w:p>
      <w:pPr>
        <w:pStyle w:val="BodyText"/>
      </w:pPr>
      <w:r>
        <w:t xml:space="preserve">We found that strains show consistent patterns of light capture efficacy (PUR/PAR ratio) across cumulative diel photon doses. The ratio of PUR/PAR exponentially decayed in relation to cumulative photon dose, across different combinations of photoperiod and peak PAR. The PE-rich strains show a much higher PUR/PAR ratio under low cumulative diel photon dose during their exponential phase of growth, but decay towards a plateau close to the PC-rich strains as cumulative diel photon dose increases.</w:t>
      </w:r>
      <w:r>
        <w:t xml:space="preserve"> </w:t>
      </w: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7"/>
    <w:bookmarkStart w:id="78" w:name="pigments-content"/>
    <w:p>
      <w:pPr>
        <w:pStyle w:val="Heading3"/>
      </w:pPr>
      <w:r>
        <w:t xml:space="preserve">Pigments content</w:t>
      </w:r>
    </w:p>
    <w:p>
      <w:pPr>
        <w:pStyle w:val="FirstParagraph"/>
      </w:pPr>
      <w:r>
        <w:t xml:space="preserve">Light regimes can affect the pigment content of algae. Responses in relation to photoperiod and irradiance can vary among the species and for pigments in the same species of algae</w:t>
      </w:r>
      <w:r>
        <w:t xml:space="preserve"> </w:t>
      </w:r>
      <w:r>
        <w:t xml:space="preserve">(Zucchi and Necchi Jr 2001)</w:t>
      </w:r>
      <w:r>
        <w:t xml:space="preserve">. Zucchi and Necchi Jr.</w:t>
      </w:r>
      <w:r>
        <w:t xml:space="preserve"> </w:t>
      </w:r>
      <w:r>
        <w:t xml:space="preserve">(Zucchi and Necchi Jr 2001)</w:t>
      </w:r>
      <w:r>
        <w:t xml:space="preserve"> </w:t>
      </w:r>
      <w:r>
        <w:t xml:space="preserve">studied the effect of photoperiod on the pigment content in red algae. Authors demonstrated that red algae had a sharp decrease in total pigment concentrations in long photoperiod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w:t>
      </w:r>
    </w:p>
    <w:p>
      <w:pPr>
        <w:pStyle w:val="BodyText"/>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 [CITATION].</w:t>
      </w:r>
    </w:p>
    <w:p>
      <w:pPr>
        <w:pStyle w:val="BodyText"/>
      </w:pPr>
      <w:r>
        <w:t xml:space="preserve">Interestingly, in white light we did not notice that tested picocyanobacteria showed chromatic adaptations, unlike conditions with a variable colour of light (Śliwińska-Wilczewska et al., unpublished).</w:t>
      </w:r>
    </w:p>
    <w:bookmarkEnd w:id="78"/>
    <w:bookmarkStart w:id="79" w:name="X4e06c326377e3aaaaa00269f851eab6c36192f3"/>
    <w:p>
      <w:pPr>
        <w:pStyle w:val="Heading3"/>
      </w:pPr>
      <w:r>
        <w:t xml:space="preserve">Effective absorption cross section of PSII and cumulative diel PSII electron flux</w:t>
      </w:r>
    </w:p>
    <w:p>
      <w:pPr>
        <w:pStyle w:val="FirstParagraph"/>
      </w:pPr>
      <w:r>
        <w:t xml:space="preserve">The photic regime and and growth phases are considered to be an important factor in the productivity and yield of photosynthetic reactions</w:t>
      </w:r>
      <w:r>
        <w:t xml:space="preserve"> </w:t>
      </w:r>
      <w:r>
        <w:t xml:space="preserve">(Jacob-Lopes et al. 2009)</w:t>
      </w:r>
      <w:r>
        <w:t xml:space="preserve"> </w:t>
      </w:r>
      <w:r>
        <w:t xml:space="preserve">but only a few reports can be found on the effects of the duration of the day and night cycles on light capture of cyanobacteria. Thus a comparison of different photoperiods is necessary in order to determine the most efficient photic regimes for picocyanobacterial effective absorption cross section of PSII and cumulative diel PSII electron flux.</w:t>
      </w:r>
    </w:p>
    <w:p>
      <w:pPr>
        <w:pStyle w:val="BodyText"/>
      </w:pPr>
      <w:r>
        <w:t xml:space="preserve">The influence of the light cycles has been reported as a determinant factor in photosynthetic activity of cyanobacteria</w:t>
      </w:r>
      <w:r>
        <w:t xml:space="preserve"> </w:t>
      </w:r>
      <w:r>
        <w:t xml:space="preserve">(Jacob-Lopes et al. 2009)</w:t>
      </w:r>
      <w:r>
        <w:t xml:space="preserve">. Photosynthesis is a process comprising two steps, light reactions that only occur when the cells are illuminated, and carbon-fixation reactions, also known as dark reactions, that occur both in the presence and absence of light</w:t>
      </w:r>
      <w:r>
        <w:t xml:space="preserve"> </w:t>
      </w:r>
      <w:r>
        <w:t xml:space="preserve">(Jacob-Lopes et al. 2009)</w:t>
      </w:r>
      <w:r>
        <w:t xml:space="preserve">.</w:t>
      </w:r>
    </w:p>
    <w:p>
      <w:pPr>
        <w:pStyle w:val="BodyText"/>
      </w:pPr>
      <w:r>
        <w:t xml:space="preserve">We found that PC-rich and PE-rich strains of</w:t>
      </w:r>
      <w:r>
        <w:t xml:space="preserve"> </w:t>
      </w:r>
      <w:r>
        <w:rPr>
          <w:iCs/>
          <w:i/>
        </w:rPr>
        <w:t xml:space="preserve">Synechococcus</w:t>
      </w:r>
      <w:r>
        <w:t xml:space="preserve"> </w:t>
      </w:r>
      <w:r>
        <w:t xml:space="preserve">show consistent patterns of effective absorption cross section for PSII photochemistry across cumulative diel photon doses. Our results show the PE-rich strains are stronger light-harvesting competitors however, the PC-rich strains may have lower N-quotients for their light capture system.</w:t>
      </w:r>
    </w:p>
    <w:p>
      <w:pPr>
        <w:pStyle w:val="BodyText"/>
      </w:pPr>
      <w:r>
        <w:t xml:space="preserve">FIX THIS SYLWIA!</w:t>
      </w:r>
    </w:p>
    <w:bookmarkEnd w:id="79"/>
    <w:bookmarkEnd w:id="80"/>
    <w:bookmarkEnd w:id="81"/>
    <w:bookmarkStart w:id="82"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cumulative photons per day. Furthermore, our investigations have demonstrated the survival capacity of both PC-rich and PE-rich</w:t>
      </w:r>
      <w:r>
        <w:t xml:space="preserve"> </w:t>
      </w:r>
      <w:r>
        <w:rPr>
          <w:iCs/>
          <w:i/>
        </w:rPr>
        <w:t xml:space="preserve">Synechococcus</w:t>
      </w:r>
      <w:r>
        <w:t xml:space="preserve"> </w:t>
      </w:r>
      <w:r>
        <w:t xml:space="preserve">sp. strains under conditions of exceptionally high and continuous irradiation.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Nevertheless, our results showed the PE-rich strains are stronger light-harvesting competitors as they tend to live deeper in the water column, but the PC-rich strains may have lower N-quotients for their light capture system.</w:t>
      </w:r>
    </w:p>
    <w:p>
      <w:pPr>
        <w:pStyle w:val="BodyText"/>
      </w:pPr>
      <w:r>
        <w:t xml:space="preserve">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2"/>
    <w:bookmarkStart w:id="83" w:name="acknowledgements"/>
    <w:p>
      <w:pPr>
        <w:pStyle w:val="Heading1"/>
      </w:pPr>
      <w:r>
        <w:t xml:space="preserve">Acknowledgements</w:t>
      </w:r>
    </w:p>
    <w:p>
      <w:pPr>
        <w:pStyle w:val="FirstParagraph"/>
      </w:pPr>
      <w:r>
        <w:t xml:space="preserve">We thank Miranda Corkum who maintained cultures and trained personnel in culture handling and Carlie Barnhill (Mount Allison Student) who assisted with R code for import of Multi-Cultivator growth data files.</w:t>
      </w:r>
    </w:p>
    <w:bookmarkEnd w:id="83"/>
    <w:bookmarkStart w:id="84"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4"/>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5">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6">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7">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8">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9" w:name="Xd25aad00de3ab5b51f7b98d6e77e13a4c00f459"/>
    <w:p>
      <w:pPr>
        <w:pStyle w:val="Heading2"/>
      </w:pPr>
      <w:r>
        <w:rPr>
          <w:rStyle w:val="SectionNumber"/>
        </w:rPr>
        <w:t xml:space="preserve">0.1</w:t>
      </w:r>
      <w:r>
        <w:tab/>
      </w:r>
      <w:r>
        <w:t xml:space="preserve">The linear fits also vary significantly among strains.</w:t>
      </w:r>
    </w:p>
    <w:bookmarkEnd w:id="89"/>
    <w:bookmarkEnd w:id="90"/>
    <w:bookmarkStart w:id="188" w:name="references"/>
    <w:p>
      <w:pPr>
        <w:pStyle w:val="Heading1"/>
      </w:pPr>
      <w:r>
        <w:t xml:space="preserve">References</w:t>
      </w:r>
    </w:p>
    <w:bookmarkStart w:id="187"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1"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1"/>
    <w:bookmarkStart w:id="103"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2">
        <w:r>
          <w:rPr>
            <w:rStyle w:val="Hyperlink"/>
          </w:rPr>
          <w:t xml:space="preserve">10.3389/fmars.2019.00319</w:t>
        </w:r>
      </w:hyperlink>
    </w:p>
    <w:bookmarkEnd w:id="103"/>
    <w:bookmarkStart w:id="104"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4"/>
    <w:bookmarkStart w:id="106"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5">
        <w:r>
          <w:rPr>
            <w:rStyle w:val="Hyperlink"/>
          </w:rPr>
          <w:t xml:space="preserve">10.1007/s10201-020-00649-5</w:t>
        </w:r>
      </w:hyperlink>
    </w:p>
    <w:bookmarkEnd w:id="106"/>
    <w:bookmarkStart w:id="108"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07">
        <w:r>
          <w:rPr>
            <w:rStyle w:val="Hyperlink"/>
          </w:rPr>
          <w:t xml:space="preserve">10.4319/lo.1999.44.1.0052</w:t>
        </w:r>
      </w:hyperlink>
    </w:p>
    <w:bookmarkEnd w:id="108"/>
    <w:bookmarkStart w:id="10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9"/>
    <w:bookmarkStart w:id="11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0"/>
    <w:bookmarkStart w:id="11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1">
        <w:r>
          <w:rPr>
            <w:rStyle w:val="Hyperlink"/>
          </w:rPr>
          <w:t xml:space="preserve">10.1126/science.281.5374.237</w:t>
        </w:r>
      </w:hyperlink>
    </w:p>
    <w:bookmarkEnd w:id="112"/>
    <w:bookmarkStart w:id="11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13">
        <w:r>
          <w:rPr>
            <w:rStyle w:val="Hyperlink"/>
          </w:rPr>
          <w:t xml:space="preserve">10.1017/S0025315406014287</w:t>
        </w:r>
      </w:hyperlink>
    </w:p>
    <w:bookmarkEnd w:id="114"/>
    <w:bookmarkStart w:id="11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15">
        <w:r>
          <w:rPr>
            <w:rStyle w:val="Hyperlink"/>
          </w:rPr>
          <w:t xml:space="preserve">10.1073/pnas.1307701110</w:t>
        </w:r>
      </w:hyperlink>
    </w:p>
    <w:bookmarkEnd w:id="116"/>
    <w:bookmarkStart w:id="11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7">
        <w:r>
          <w:rPr>
            <w:rStyle w:val="Hyperlink"/>
          </w:rPr>
          <w:t xml:space="preserve">10.3354/meps052099</w:t>
        </w:r>
      </w:hyperlink>
    </w:p>
    <w:bookmarkEnd w:id="118"/>
    <w:bookmarkStart w:id="120" w:name="Xabe2e2d4e11ad4eda939fa8f2c3076cd04e2f6c"/>
    <w:p>
      <w:pPr>
        <w:pStyle w:val="Bibliography"/>
      </w:pPr>
      <w:r>
        <w:t xml:space="preserve">Gradinger, R., and J. Lenz. 1995. Seasonal occurrence of picocyanobacteria in the</w:t>
      </w:r>
      <w:r>
        <w:t xml:space="preserve"> </w:t>
      </w:r>
      <w:r>
        <w:t xml:space="preserve">Greenland Sea</w:t>
      </w:r>
      <w:r>
        <w:t xml:space="preserve"> </w:t>
      </w:r>
      <w:r>
        <w:t xml:space="preserve">and central</w:t>
      </w:r>
      <w:r>
        <w:t xml:space="preserve"> </w:t>
      </w:r>
      <w:r>
        <w:t xml:space="preserve">Arctic Ocean</w:t>
      </w:r>
      <w:r>
        <w:t xml:space="preserve">. Polar Biology</w:t>
      </w:r>
      <w:r>
        <w:t xml:space="preserve"> </w:t>
      </w:r>
      <w:r>
        <w:rPr>
          <w:bCs/>
          <w:b/>
        </w:rPr>
        <w:t xml:space="preserve">15</w:t>
      </w:r>
      <w:r>
        <w:t xml:space="preserve">: 447–452. doi:</w:t>
      </w:r>
      <w:hyperlink r:id="rId119">
        <w:r>
          <w:rPr>
            <w:rStyle w:val="Hyperlink"/>
          </w:rPr>
          <w:t xml:space="preserve">10.1007/BF00239722</w:t>
        </w:r>
      </w:hyperlink>
    </w:p>
    <w:bookmarkEnd w:id="120"/>
    <w:bookmarkStart w:id="122" w:name="Xd7d6b0bcb60aabcb149933a8690177800745aff"/>
    <w:p>
      <w:pPr>
        <w:pStyle w:val="Bibliography"/>
      </w:pPr>
      <w:r>
        <w:t xml:space="preserve">Guillard, R. R. L. 1975.</w:t>
      </w:r>
      <w:r>
        <w:t xml:space="preserve"> </w:t>
      </w:r>
      <w:hyperlink r:id="rId121">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2"/>
    <w:bookmarkStart w:id="12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3"/>
    <w:bookmarkStart w:id="12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4"/>
    <w:bookmarkStart w:id="12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5">
        <w:r>
          <w:rPr>
            <w:rStyle w:val="Hyperlink"/>
          </w:rPr>
          <w:t xml:space="preserve">10.1038/ismej.2008.118</w:t>
        </w:r>
      </w:hyperlink>
    </w:p>
    <w:bookmarkEnd w:id="126"/>
    <w:bookmarkStart w:id="12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7">
        <w:r>
          <w:rPr>
            <w:rStyle w:val="Hyperlink"/>
          </w:rPr>
          <w:t xml:space="preserve">10.5194/bg-8-311-2011</w:t>
        </w:r>
      </w:hyperlink>
    </w:p>
    <w:bookmarkEnd w:id="128"/>
    <w:bookmarkStart w:id="13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9">
        <w:r>
          <w:rPr>
            <w:rStyle w:val="Hyperlink"/>
          </w:rPr>
          <w:t xml:space="preserve">10.1038/s41559-020-01330-x</w:t>
        </w:r>
      </w:hyperlink>
    </w:p>
    <w:bookmarkEnd w:id="130"/>
    <w:bookmarkStart w:id="13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1">
        <w:r>
          <w:rPr>
            <w:rStyle w:val="Hyperlink"/>
          </w:rPr>
          <w:t xml:space="preserve">10.1086/338511</w:t>
        </w:r>
      </w:hyperlink>
    </w:p>
    <w:bookmarkEnd w:id="132"/>
    <w:bookmarkStart w:id="13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3">
        <w:r>
          <w:rPr>
            <w:rStyle w:val="Hyperlink"/>
          </w:rPr>
          <w:t xml:space="preserve">10.1038/nclimate3147</w:t>
        </w:r>
      </w:hyperlink>
    </w:p>
    <w:bookmarkEnd w:id="134"/>
    <w:bookmarkStart w:id="13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5">
        <w:r>
          <w:rPr>
            <w:rStyle w:val="Hyperlink"/>
          </w:rPr>
          <w:t xml:space="preserve">10.1016/j.cep.2008.04.007</w:t>
        </w:r>
      </w:hyperlink>
    </w:p>
    <w:bookmarkEnd w:id="136"/>
    <w:bookmarkStart w:id="13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7">
        <w:r>
          <w:rPr>
            <w:rStyle w:val="Hyperlink"/>
          </w:rPr>
          <w:t xml:space="preserve">10.1016/j.jphotobiol.2005.10.002</w:t>
        </w:r>
      </w:hyperlink>
    </w:p>
    <w:bookmarkEnd w:id="138"/>
    <w:bookmarkStart w:id="139"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39"/>
    <w:bookmarkStart w:id="14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0">
        <w:r>
          <w:rPr>
            <w:rStyle w:val="Hyperlink"/>
          </w:rPr>
          <w:t xml:space="preserve">10.1016/S0005-2728(98)00135-2</w:t>
        </w:r>
      </w:hyperlink>
    </w:p>
    <w:bookmarkEnd w:id="141"/>
    <w:bookmarkStart w:id="143" w:name="X0484b3dfebfaa14160c541e1fe2290095bae149"/>
    <w:p>
      <w:pPr>
        <w:pStyle w:val="Bibliography"/>
      </w:pPr>
      <w:r>
        <w:t xml:space="preserve">LaRoche, J., and B. M. Robicheau. 2022.</w:t>
      </w:r>
      <w:r>
        <w:t xml:space="preserve"> </w:t>
      </w:r>
      <w:hyperlink r:id="rId14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3"/>
    <w:bookmarkStart w:id="145"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4">
        <w:r>
          <w:rPr>
            <w:rStyle w:val="Hyperlink"/>
          </w:rPr>
          <w:t xml:space="preserve">10.1093/plankt/fbv008</w:t>
        </w:r>
      </w:hyperlink>
    </w:p>
    <w:bookmarkEnd w:id="145"/>
    <w:bookmarkStart w:id="147" w:name="X1fa63fd480d0916fa60113cb089a7102c347762"/>
    <w:p>
      <w:pPr>
        <w:pStyle w:val="Bibliography"/>
      </w:pPr>
      <w:r>
        <w:t xml:space="preserve">Li, W. K. W. 1995.</w:t>
      </w:r>
      <w:r>
        <w:t xml:space="preserve"> </w:t>
      </w:r>
      <w:hyperlink r:id="rId146">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7"/>
    <w:bookmarkStart w:id="149"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48">
        <w:r>
          <w:rPr>
            <w:rStyle w:val="Hyperlink"/>
          </w:rPr>
          <w:t xml:space="preserve">10.1016/0146-6291(78)90623-9</w:t>
        </w:r>
      </w:hyperlink>
    </w:p>
    <w:bookmarkEnd w:id="149"/>
    <w:bookmarkStart w:id="151" w:name="ref-ortmannLysogenyLyticViral2002"/>
    <w:p>
      <w:pPr>
        <w:pStyle w:val="Bibliography"/>
      </w:pPr>
      <w:r>
        <w:t xml:space="preserve">Ortmann, A. C., J. E. Lawrence, and C. A. Suttle. 2002.</w:t>
      </w:r>
      <w:r>
        <w:t xml:space="preserve"> </w:t>
      </w:r>
      <w:hyperlink r:id="rId15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1"/>
    <w:bookmarkStart w:id="15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52">
        <w:r>
          <w:rPr>
            <w:rStyle w:val="Hyperlink"/>
          </w:rPr>
          <w:t xml:space="preserve">10.1023/A:1005936823310</w:t>
        </w:r>
      </w:hyperlink>
    </w:p>
    <w:bookmarkEnd w:id="153"/>
    <w:bookmarkStart w:id="15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54">
        <w:r>
          <w:rPr>
            <w:rStyle w:val="Hyperlink"/>
          </w:rPr>
          <w:t xml:space="preserve">10.4319/lom.2012.10.142</w:t>
        </w:r>
      </w:hyperlink>
    </w:p>
    <w:bookmarkEnd w:id="155"/>
    <w:bookmarkStart w:id="156"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56"/>
    <w:bookmarkStart w:id="15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57"/>
    <w:bookmarkStart w:id="159"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58">
        <w:r>
          <w:rPr>
            <w:rStyle w:val="Hyperlink"/>
          </w:rPr>
          <w:t xml:space="preserve">10.1038/sdata.2017.98</w:t>
        </w:r>
      </w:hyperlink>
    </w:p>
    <w:bookmarkEnd w:id="159"/>
    <w:bookmarkStart w:id="160" w:name="ref-serwayModernPhysics2004"/>
    <w:p>
      <w:pPr>
        <w:pStyle w:val="Bibliography"/>
      </w:pPr>
      <w:r>
        <w:t xml:space="preserve">Serway, R. A., C. J. Moses, and C. A. Moyer. 2004. Modern</w:t>
      </w:r>
      <w:r>
        <w:t xml:space="preserve"> </w:t>
      </w:r>
      <w:r>
        <w:t xml:space="preserve">Physics</w:t>
      </w:r>
      <w:r>
        <w:t xml:space="preserve">, Cengage Learning.</w:t>
      </w:r>
    </w:p>
    <w:bookmarkEnd w:id="160"/>
    <w:bookmarkStart w:id="162"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1">
        <w:r>
          <w:rPr>
            <w:rStyle w:val="Hyperlink"/>
          </w:rPr>
          <w:t xml:space="preserve">10.1371/journal.pone.0001341</w:t>
        </w:r>
      </w:hyperlink>
    </w:p>
    <w:bookmarkEnd w:id="162"/>
    <w:bookmarkStart w:id="164"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63">
        <w:r>
          <w:rPr>
            <w:rStyle w:val="Hyperlink"/>
          </w:rPr>
          <w:t xml:space="preserve">10.1073/pnas.2111300118</w:t>
        </w:r>
      </w:hyperlink>
    </w:p>
    <w:bookmarkEnd w:id="164"/>
    <w:bookmarkStart w:id="166"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65">
        <w:r>
          <w:rPr>
            <w:rStyle w:val="Hyperlink"/>
          </w:rPr>
          <w:t xml:space="preserve">DOI: http://dx.doi.org/10.25607/OBP-1791</w:t>
        </w:r>
      </w:hyperlink>
    </w:p>
    <w:bookmarkEnd w:id="166"/>
    <w:bookmarkStart w:id="167"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67"/>
    <w:bookmarkStart w:id="16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68">
        <w:r>
          <w:rPr>
            <w:rStyle w:val="Hyperlink"/>
          </w:rPr>
          <w:t xml:space="preserve">10.1111/j.1365-2427.2008.02119.x</w:t>
        </w:r>
      </w:hyperlink>
    </w:p>
    <w:bookmarkEnd w:id="169"/>
    <w:bookmarkStart w:id="171" w:name="ref-tortellUserGuideApplication2021"/>
    <w:p>
      <w:pPr>
        <w:pStyle w:val="Bibliography"/>
      </w:pPr>
      <w:r>
        <w:t xml:space="preserve">Tortell, P., D. J. Suggett, and S. W. Group156. 2021.</w:t>
      </w:r>
      <w:r>
        <w:t xml:space="preserve"> </w:t>
      </w:r>
      <w:hyperlink r:id="rId17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71"/>
    <w:bookmarkStart w:id="173" w:name="Xa2bcf4349167e9468f813478c79d747bd3604cf"/>
    <w:p>
      <w:pPr>
        <w:pStyle w:val="Bibliography"/>
      </w:pPr>
      <w:r>
        <w:t xml:space="preserve">Van Hove, P., W. Vincent, P. Galland, and A. Wilmotte. 2008. Abundance and diversity of picocyanobacteria in</w:t>
      </w:r>
      <w:r>
        <w:t xml:space="preserve"> </w:t>
      </w:r>
      <w:r>
        <w:t xml:space="preserve">High Arctic</w:t>
      </w:r>
      <w:r>
        <w:t xml:space="preserve"> </w:t>
      </w:r>
      <w:r>
        <w:t xml:space="preserve">lakes and fjords. Algological Studies</w:t>
      </w:r>
      <w:r>
        <w:t xml:space="preserve"> </w:t>
      </w:r>
      <w:r>
        <w:rPr>
          <w:bCs/>
          <w:b/>
        </w:rPr>
        <w:t xml:space="preserve">168</w:t>
      </w:r>
      <w:r>
        <w:t xml:space="preserve">. doi:</w:t>
      </w:r>
      <w:hyperlink r:id="rId172">
        <w:r>
          <w:rPr>
            <w:rStyle w:val="Hyperlink"/>
          </w:rPr>
          <w:t xml:space="preserve">10.1127/1864-1318/2008/0126-0209</w:t>
        </w:r>
      </w:hyperlink>
    </w:p>
    <w:bookmarkEnd w:id="173"/>
    <w:bookmarkStart w:id="17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174"/>
    <w:bookmarkStart w:id="17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75">
        <w:r>
          <w:rPr>
            <w:rStyle w:val="Hyperlink"/>
          </w:rPr>
          <w:t xml:space="preserve">10.1029/1999JC000308</w:t>
        </w:r>
      </w:hyperlink>
    </w:p>
    <w:bookmarkEnd w:id="176"/>
    <w:bookmarkStart w:id="178" w:name="ref-wickhamDataAnalysis2016"/>
    <w:p>
      <w:pPr>
        <w:pStyle w:val="Bibliography"/>
      </w:pPr>
      <w:r>
        <w:t xml:space="preserve">Wickham, H. 2016.</w:t>
      </w:r>
      <w:r>
        <w:t xml:space="preserve"> </w:t>
      </w:r>
      <w:hyperlink r:id="rId17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78"/>
    <w:bookmarkStart w:id="18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79">
        <w:r>
          <w:rPr>
            <w:rStyle w:val="Hyperlink"/>
          </w:rPr>
          <w:t xml:space="preserve">10.1016/j.rse.2020.111704</w:t>
        </w:r>
      </w:hyperlink>
    </w:p>
    <w:bookmarkEnd w:id="180"/>
    <w:bookmarkStart w:id="18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81">
        <w:r>
          <w:rPr>
            <w:rStyle w:val="Hyperlink"/>
          </w:rPr>
          <w:t xml:space="preserve">10.1016/j.bbabio.2017.03.003</w:t>
        </w:r>
      </w:hyperlink>
    </w:p>
    <w:bookmarkEnd w:id="182"/>
    <w:bookmarkStart w:id="184"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83">
        <w:r>
          <w:rPr>
            <w:rStyle w:val="Hyperlink"/>
          </w:rPr>
          <w:t xml:space="preserve">10.3389/fmars.2018.00281</w:t>
        </w:r>
      </w:hyperlink>
    </w:p>
    <w:bookmarkEnd w:id="184"/>
    <w:bookmarkStart w:id="186"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185">
        <w:r>
          <w:rPr>
            <w:rStyle w:val="Hyperlink"/>
          </w:rPr>
          <w:t xml:space="preserve">10.1046/j.1440-1835.2001.00230.x</w:t>
        </w:r>
      </w:hyperlink>
    </w:p>
    <w:bookmarkEnd w:id="186"/>
    <w:bookmarkEnd w:id="187"/>
    <w:bookmarkEnd w:id="18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16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1"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177" Target="https://doi.org/10.1007/978-3-319-24277-4_9" TargetMode="External" /><Relationship Type="http://schemas.openxmlformats.org/officeDocument/2006/relationships/hyperlink" Id="rId119" Target="https://doi.org/10.1007/BF00239722" TargetMode="External" /><Relationship Type="http://schemas.openxmlformats.org/officeDocument/2006/relationships/hyperlink" Id="rId105" Target="https://doi.org/10.1007/s10201-020-00649-5" TargetMode="External" /><Relationship Type="http://schemas.openxmlformats.org/officeDocument/2006/relationships/hyperlink" Id="rId148" Target="https://doi.org/10.1016/0146-6291(78)90623-9" TargetMode="External" /><Relationship Type="http://schemas.openxmlformats.org/officeDocument/2006/relationships/hyperlink" Id="rId140" Target="https://doi.org/10.1016/S0005-2728(98)00135-2" TargetMode="External" /><Relationship Type="http://schemas.openxmlformats.org/officeDocument/2006/relationships/hyperlink" Id="rId181" Target="https://doi.org/10.1016/j.bbabio.2017.03.003" TargetMode="External" /><Relationship Type="http://schemas.openxmlformats.org/officeDocument/2006/relationships/hyperlink" Id="rId135" Target="https://doi.org/10.1016/j.cep.2008.04.007" TargetMode="External" /><Relationship Type="http://schemas.openxmlformats.org/officeDocument/2006/relationships/hyperlink" Id="rId137" Target="https://doi.org/10.1016/j.jphotobiol.2005.10.002" TargetMode="External" /><Relationship Type="http://schemas.openxmlformats.org/officeDocument/2006/relationships/hyperlink" Id="rId179" Target="https://doi.org/10.1016/j.rse.2020.111704" TargetMode="External" /><Relationship Type="http://schemas.openxmlformats.org/officeDocument/2006/relationships/hyperlink" Id="rId113" Target="https://doi.org/10.1017/S0025315406014287" TargetMode="External" /><Relationship Type="http://schemas.openxmlformats.org/officeDocument/2006/relationships/hyperlink" Id="rId152" Target="https://doi.org/10.1023/A:1005936823310" TargetMode="External" /><Relationship Type="http://schemas.openxmlformats.org/officeDocument/2006/relationships/hyperlink" Id="rId175" Target="https://doi.org/10.1029/1999JC000308" TargetMode="External" /><Relationship Type="http://schemas.openxmlformats.org/officeDocument/2006/relationships/hyperlink" Id="rId93" Target="https://doi.org/10.1038/284481a0" TargetMode="External" /><Relationship Type="http://schemas.openxmlformats.org/officeDocument/2006/relationships/hyperlink" Id="rId125"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3" Target="https://doi.org/10.1038/nclimate3147" TargetMode="External" /><Relationship Type="http://schemas.openxmlformats.org/officeDocument/2006/relationships/hyperlink" Id="rId129" Target="https://doi.org/10.1038/s41559-020-01330-x" TargetMode="External" /><Relationship Type="http://schemas.openxmlformats.org/officeDocument/2006/relationships/hyperlink" Id="rId158" Target="https://doi.org/10.1038/sdata.2017.98" TargetMode="External" /><Relationship Type="http://schemas.openxmlformats.org/officeDocument/2006/relationships/hyperlink" Id="rId185" Target="https://doi.org/10.1046/j.1440-1835.2001.00230.x" TargetMode="External" /><Relationship Type="http://schemas.openxmlformats.org/officeDocument/2006/relationships/hyperlink" Id="rId115" Target="https://doi.org/10.1073/pnas.1307701110" TargetMode="External" /><Relationship Type="http://schemas.openxmlformats.org/officeDocument/2006/relationships/hyperlink" Id="rId163"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44"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68" Target="https://doi.org/10.1111/j.1365-2427.2008.02119.x" TargetMode="External" /><Relationship Type="http://schemas.openxmlformats.org/officeDocument/2006/relationships/hyperlink" Id="rId111" Target="https://doi.org/10.1126/science.281.5374.237" TargetMode="External" /><Relationship Type="http://schemas.openxmlformats.org/officeDocument/2006/relationships/hyperlink" Id="rId172" Target="https://doi.org/10.1127/1864-1318/2008/0126-0209" TargetMode="External" /><Relationship Type="http://schemas.openxmlformats.org/officeDocument/2006/relationships/hyperlink" Id="rId95" Target="https://doi.org/10.1146/annurev-marine-010213-135103" TargetMode="External" /><Relationship Type="http://schemas.openxmlformats.org/officeDocument/2006/relationships/hyperlink" Id="rId161" Target="https://doi.org/10.1371/journal.pone.0001341" TargetMode="External" /><Relationship Type="http://schemas.openxmlformats.org/officeDocument/2006/relationships/hyperlink" Id="rId170"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183"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07" Target="https://doi.org/10.4319/lo.1999.44.1.0052" TargetMode="External" /><Relationship Type="http://schemas.openxmlformats.org/officeDocument/2006/relationships/hyperlink" Id="rId154" Target="https://doi.org/10.4319/lom.2012.10.142" TargetMode="External" /><Relationship Type="http://schemas.openxmlformats.org/officeDocument/2006/relationships/hyperlink" Id="rId127" Target="https://doi.org/10.5194/bg-8-311-2011" TargetMode="External" /><Relationship Type="http://schemas.openxmlformats.org/officeDocument/2006/relationships/hyperlink" Id="rId146" Target="https://www.jstor.org/stable/24852252" TargetMode="External" /><Relationship Type="http://schemas.openxmlformats.org/officeDocument/2006/relationships/hyperlink" Id="rId150"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6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1"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177" Target="https://doi.org/10.1007/978-3-319-24277-4_9" TargetMode="External" /><Relationship Type="http://schemas.openxmlformats.org/officeDocument/2006/relationships/hyperlink" Id="rId119" Target="https://doi.org/10.1007/BF00239722" TargetMode="External" /><Relationship Type="http://schemas.openxmlformats.org/officeDocument/2006/relationships/hyperlink" Id="rId105" Target="https://doi.org/10.1007/s10201-020-00649-5" TargetMode="External" /><Relationship Type="http://schemas.openxmlformats.org/officeDocument/2006/relationships/hyperlink" Id="rId148" Target="https://doi.org/10.1016/0146-6291(78)90623-9" TargetMode="External" /><Relationship Type="http://schemas.openxmlformats.org/officeDocument/2006/relationships/hyperlink" Id="rId140" Target="https://doi.org/10.1016/S0005-2728(98)00135-2" TargetMode="External" /><Relationship Type="http://schemas.openxmlformats.org/officeDocument/2006/relationships/hyperlink" Id="rId181" Target="https://doi.org/10.1016/j.bbabio.2017.03.003" TargetMode="External" /><Relationship Type="http://schemas.openxmlformats.org/officeDocument/2006/relationships/hyperlink" Id="rId135" Target="https://doi.org/10.1016/j.cep.2008.04.007" TargetMode="External" /><Relationship Type="http://schemas.openxmlformats.org/officeDocument/2006/relationships/hyperlink" Id="rId137" Target="https://doi.org/10.1016/j.jphotobiol.2005.10.002" TargetMode="External" /><Relationship Type="http://schemas.openxmlformats.org/officeDocument/2006/relationships/hyperlink" Id="rId179" Target="https://doi.org/10.1016/j.rse.2020.111704" TargetMode="External" /><Relationship Type="http://schemas.openxmlformats.org/officeDocument/2006/relationships/hyperlink" Id="rId113" Target="https://doi.org/10.1017/S0025315406014287" TargetMode="External" /><Relationship Type="http://schemas.openxmlformats.org/officeDocument/2006/relationships/hyperlink" Id="rId152" Target="https://doi.org/10.1023/A:1005936823310" TargetMode="External" /><Relationship Type="http://schemas.openxmlformats.org/officeDocument/2006/relationships/hyperlink" Id="rId175" Target="https://doi.org/10.1029/1999JC000308" TargetMode="External" /><Relationship Type="http://schemas.openxmlformats.org/officeDocument/2006/relationships/hyperlink" Id="rId93" Target="https://doi.org/10.1038/284481a0" TargetMode="External" /><Relationship Type="http://schemas.openxmlformats.org/officeDocument/2006/relationships/hyperlink" Id="rId125"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3" Target="https://doi.org/10.1038/nclimate3147" TargetMode="External" /><Relationship Type="http://schemas.openxmlformats.org/officeDocument/2006/relationships/hyperlink" Id="rId129" Target="https://doi.org/10.1038/s41559-020-01330-x" TargetMode="External" /><Relationship Type="http://schemas.openxmlformats.org/officeDocument/2006/relationships/hyperlink" Id="rId158" Target="https://doi.org/10.1038/sdata.2017.98" TargetMode="External" /><Relationship Type="http://schemas.openxmlformats.org/officeDocument/2006/relationships/hyperlink" Id="rId185" Target="https://doi.org/10.1046/j.1440-1835.2001.00230.x" TargetMode="External" /><Relationship Type="http://schemas.openxmlformats.org/officeDocument/2006/relationships/hyperlink" Id="rId115" Target="https://doi.org/10.1073/pnas.1307701110" TargetMode="External" /><Relationship Type="http://schemas.openxmlformats.org/officeDocument/2006/relationships/hyperlink" Id="rId163"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44"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68" Target="https://doi.org/10.1111/j.1365-2427.2008.02119.x" TargetMode="External" /><Relationship Type="http://schemas.openxmlformats.org/officeDocument/2006/relationships/hyperlink" Id="rId111" Target="https://doi.org/10.1126/science.281.5374.237" TargetMode="External" /><Relationship Type="http://schemas.openxmlformats.org/officeDocument/2006/relationships/hyperlink" Id="rId172" Target="https://doi.org/10.1127/1864-1318/2008/0126-0209" TargetMode="External" /><Relationship Type="http://schemas.openxmlformats.org/officeDocument/2006/relationships/hyperlink" Id="rId95" Target="https://doi.org/10.1146/annurev-marine-010213-135103" TargetMode="External" /><Relationship Type="http://schemas.openxmlformats.org/officeDocument/2006/relationships/hyperlink" Id="rId161" Target="https://doi.org/10.1371/journal.pone.0001341" TargetMode="External" /><Relationship Type="http://schemas.openxmlformats.org/officeDocument/2006/relationships/hyperlink" Id="rId170"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183"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07" Target="https://doi.org/10.4319/lo.1999.44.1.0052" TargetMode="External" /><Relationship Type="http://schemas.openxmlformats.org/officeDocument/2006/relationships/hyperlink" Id="rId154" Target="https://doi.org/10.4319/lom.2012.10.142" TargetMode="External" /><Relationship Type="http://schemas.openxmlformats.org/officeDocument/2006/relationships/hyperlink" Id="rId127" Target="https://doi.org/10.5194/bg-8-311-2011" TargetMode="External" /><Relationship Type="http://schemas.openxmlformats.org/officeDocument/2006/relationships/hyperlink" Id="rId146" Target="https://www.jstor.org/stable/24852252" TargetMode="External" /><Relationship Type="http://schemas.openxmlformats.org/officeDocument/2006/relationships/hyperlink" Id="rId150"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2024-04-19T10:52:27Z</dcterms:created>
  <dcterms:modified xsi:type="dcterms:W3CDTF">2024-04-19T10:52:27Z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